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D0412F" w14:textId="062CA5EE" w:rsidR="00B67EEA" w:rsidRPr="00B67EEA" w:rsidRDefault="00B67EEA" w:rsidP="00B67EEA">
      <w:pPr>
        <w:spacing w:line="240" w:lineRule="auto"/>
        <w:jc w:val="center"/>
        <w:rPr>
          <w:rFonts w:ascii="Gill Sans MT" w:eastAsia="Gill Sans" w:hAnsi="Gill Sans MT" w:cs="Gill Sans"/>
          <w:b/>
          <w:bCs/>
          <w:sz w:val="32"/>
          <w:szCs w:val="32"/>
        </w:rPr>
      </w:pPr>
      <w:r w:rsidRPr="00B67EEA">
        <w:rPr>
          <w:rFonts w:ascii="Gill Sans MT" w:eastAsia="Gill Sans" w:hAnsi="Gill Sans MT" w:cs="Gill Sans"/>
          <w:b/>
          <w:bCs/>
          <w:sz w:val="32"/>
          <w:szCs w:val="32"/>
        </w:rPr>
        <w:t>DATOS GENERALES A CONSIDERAR</w:t>
      </w:r>
    </w:p>
    <w:p w14:paraId="65B40A9B" w14:textId="23E43E09" w:rsidR="00B67EEA" w:rsidRPr="00B67EEA" w:rsidRDefault="00B67EEA" w:rsidP="00B67EEA">
      <w:pPr>
        <w:spacing w:line="240" w:lineRule="auto"/>
        <w:jc w:val="center"/>
        <w:rPr>
          <w:rFonts w:ascii="Gill Sans MT" w:eastAsia="Gill Sans" w:hAnsi="Gill Sans MT" w:cs="Gill Sans"/>
          <w:b/>
          <w:bCs/>
          <w:sz w:val="32"/>
          <w:szCs w:val="32"/>
        </w:rPr>
      </w:pPr>
      <w:r w:rsidRPr="00B67EEA">
        <w:rPr>
          <w:rFonts w:ascii="Gill Sans MT" w:hAnsi="Gill Sans MT"/>
          <w:b/>
          <w:sz w:val="32"/>
          <w:szCs w:val="32"/>
        </w:rPr>
        <w:t>Non-</w:t>
      </w:r>
      <w:proofErr w:type="spellStart"/>
      <w:r w:rsidRPr="00B67EEA">
        <w:rPr>
          <w:rFonts w:ascii="Gill Sans MT" w:hAnsi="Gill Sans MT"/>
          <w:b/>
          <w:sz w:val="32"/>
          <w:szCs w:val="32"/>
        </w:rPr>
        <w:t>Us</w:t>
      </w:r>
      <w:proofErr w:type="spellEnd"/>
      <w:r w:rsidRPr="00B67EEA">
        <w:rPr>
          <w:rFonts w:ascii="Gill Sans MT" w:hAnsi="Gill Sans MT"/>
          <w:b/>
          <w:sz w:val="32"/>
          <w:szCs w:val="32"/>
        </w:rPr>
        <w:t xml:space="preserve"> </w:t>
      </w:r>
      <w:proofErr w:type="spellStart"/>
      <w:r w:rsidRPr="00B67EEA">
        <w:rPr>
          <w:rFonts w:ascii="Gill Sans MT" w:hAnsi="Gill Sans MT"/>
          <w:b/>
          <w:sz w:val="32"/>
          <w:szCs w:val="32"/>
        </w:rPr>
        <w:t>Organization</w:t>
      </w:r>
      <w:proofErr w:type="spellEnd"/>
      <w:r w:rsidRPr="00B67EEA">
        <w:rPr>
          <w:rFonts w:ascii="Gill Sans MT" w:hAnsi="Gill Sans MT"/>
          <w:b/>
          <w:sz w:val="32"/>
          <w:szCs w:val="32"/>
        </w:rPr>
        <w:t xml:space="preserve"> </w:t>
      </w:r>
      <w:proofErr w:type="spellStart"/>
      <w:r w:rsidRPr="00B67EEA">
        <w:rPr>
          <w:rFonts w:ascii="Gill Sans MT" w:hAnsi="Gill Sans MT"/>
          <w:b/>
          <w:sz w:val="32"/>
          <w:szCs w:val="32"/>
        </w:rPr>
        <w:t>Preaward</w:t>
      </w:r>
      <w:proofErr w:type="spellEnd"/>
      <w:r w:rsidRPr="00B67EEA">
        <w:rPr>
          <w:rFonts w:ascii="Gill Sans MT" w:hAnsi="Gill Sans MT"/>
          <w:b/>
          <w:sz w:val="32"/>
          <w:szCs w:val="32"/>
        </w:rPr>
        <w:t xml:space="preserve"> </w:t>
      </w:r>
      <w:proofErr w:type="spellStart"/>
      <w:r w:rsidRPr="00B67EEA">
        <w:rPr>
          <w:rFonts w:ascii="Gill Sans MT" w:hAnsi="Gill Sans MT"/>
          <w:b/>
          <w:sz w:val="32"/>
          <w:szCs w:val="32"/>
        </w:rPr>
        <w:t>Survey</w:t>
      </w:r>
      <w:proofErr w:type="spellEnd"/>
      <w:r w:rsidRPr="00B67EEA">
        <w:rPr>
          <w:rFonts w:ascii="Gill Sans MT" w:hAnsi="Gill Sans MT"/>
          <w:b/>
          <w:sz w:val="32"/>
          <w:szCs w:val="32"/>
        </w:rPr>
        <w:t xml:space="preserve"> (NUPAS)</w:t>
      </w:r>
    </w:p>
    <w:p w14:paraId="70842BA8" w14:textId="6769ECF3" w:rsidR="001C7D4C" w:rsidRP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 xml:space="preserve">La encuesta de preasignación o de evaluación de capacidades evalúa 6 áreas institucionales de las organizaciones: </w:t>
      </w:r>
    </w:p>
    <w:p w14:paraId="1E9ABFFF" w14:textId="173534D8" w:rsid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 xml:space="preserve">1. Estructura Legal; </w:t>
      </w:r>
    </w:p>
    <w:p w14:paraId="6F38EE00" w14:textId="71E38EDD" w:rsidR="00B45305" w:rsidRDefault="00B45305" w:rsidP="00B67EEA">
      <w:pPr>
        <w:pStyle w:val="Prrafodelista"/>
        <w:numPr>
          <w:ilvl w:val="0"/>
          <w:numId w:val="7"/>
        </w:numPr>
        <w:spacing w:line="240" w:lineRule="auto"/>
        <w:jc w:val="both"/>
        <w:rPr>
          <w:rFonts w:ascii="Gill Sans MT" w:eastAsia="Gill Sans" w:hAnsi="Gill Sans MT" w:cs="Gill Sans"/>
          <w:bCs/>
        </w:rPr>
      </w:pPr>
      <w:r w:rsidRPr="00B45305">
        <w:rPr>
          <w:rFonts w:ascii="Gill Sans MT" w:eastAsia="Gill Sans" w:hAnsi="Gill Sans MT" w:cs="Gill Sans"/>
          <w:bCs/>
        </w:rPr>
        <w:t>Exención leg</w:t>
      </w:r>
      <w:bookmarkStart w:id="0" w:name="_GoBack"/>
      <w:bookmarkEnd w:id="0"/>
      <w:r w:rsidRPr="00B45305">
        <w:rPr>
          <w:rFonts w:ascii="Gill Sans MT" w:eastAsia="Gill Sans" w:hAnsi="Gill Sans MT" w:cs="Gill Sans"/>
          <w:bCs/>
        </w:rPr>
        <w:t>al de impuestos y aranceles de importación</w:t>
      </w:r>
    </w:p>
    <w:p w14:paraId="41ECB649" w14:textId="6EA92EDD" w:rsidR="00B45305" w:rsidRPr="00B45305" w:rsidRDefault="00B45305" w:rsidP="00B67EEA">
      <w:pPr>
        <w:pStyle w:val="Prrafodelista"/>
        <w:numPr>
          <w:ilvl w:val="0"/>
          <w:numId w:val="7"/>
        </w:numPr>
        <w:spacing w:line="240" w:lineRule="auto"/>
        <w:jc w:val="both"/>
        <w:rPr>
          <w:rFonts w:ascii="Gill Sans MT" w:eastAsia="Gill Sans" w:hAnsi="Gill Sans MT" w:cs="Gill Sans"/>
          <w:bCs/>
        </w:rPr>
      </w:pPr>
      <w:r>
        <w:rPr>
          <w:rFonts w:ascii="Gill Sans MT" w:eastAsia="Gill Sans" w:hAnsi="Gill Sans MT" w:cs="Gill Sans"/>
          <w:bCs/>
        </w:rPr>
        <w:t xml:space="preserve">Responsabilidades </w:t>
      </w:r>
    </w:p>
    <w:p w14:paraId="57BD0A6F" w14:textId="05603B76" w:rsid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 xml:space="preserve">2. Administración de Finanzas; </w:t>
      </w:r>
    </w:p>
    <w:p w14:paraId="57D5C4D4" w14:textId="1DA6C076" w:rsidR="00B45305" w:rsidRPr="00B45305" w:rsidRDefault="00B45305" w:rsidP="00B67EEA">
      <w:pPr>
        <w:pStyle w:val="Prrafodelista"/>
        <w:numPr>
          <w:ilvl w:val="0"/>
          <w:numId w:val="4"/>
        </w:numPr>
        <w:spacing w:line="240" w:lineRule="auto"/>
        <w:jc w:val="both"/>
        <w:rPr>
          <w:rFonts w:ascii="Gill Sans MT" w:eastAsia="Gill Sans" w:hAnsi="Gill Sans MT" w:cs="Gill Sans"/>
          <w:bCs/>
        </w:rPr>
      </w:pPr>
      <w:r w:rsidRPr="00B45305">
        <w:rPr>
          <w:rFonts w:ascii="Gill Sans MT" w:eastAsia="Gill Sans" w:hAnsi="Gill Sans MT" w:cs="Gill Sans"/>
          <w:bCs/>
        </w:rPr>
        <w:t>Registros, políticas y sistemas contables</w:t>
      </w:r>
    </w:p>
    <w:p w14:paraId="104B27FC" w14:textId="77777777" w:rsidR="00B45305" w:rsidRDefault="00B45305" w:rsidP="00B67EEA">
      <w:pPr>
        <w:pStyle w:val="Prrafodelista"/>
        <w:numPr>
          <w:ilvl w:val="0"/>
          <w:numId w:val="4"/>
        </w:numPr>
        <w:spacing w:line="240" w:lineRule="auto"/>
        <w:jc w:val="both"/>
        <w:rPr>
          <w:rFonts w:ascii="Gill Sans MT" w:eastAsia="Gill Sans" w:hAnsi="Gill Sans MT" w:cs="Gill Sans"/>
          <w:bCs/>
        </w:rPr>
      </w:pPr>
      <w:r w:rsidRPr="00B45305">
        <w:rPr>
          <w:rFonts w:ascii="Gill Sans MT" w:eastAsia="Gill Sans" w:hAnsi="Gill Sans MT" w:cs="Gill Sans"/>
          <w:bCs/>
        </w:rPr>
        <w:t>Presupuesto y Reporte Financiero</w:t>
      </w:r>
    </w:p>
    <w:p w14:paraId="5B8DE2E2" w14:textId="71C547BE" w:rsidR="00B45305" w:rsidRDefault="00B45305" w:rsidP="00B67EEA">
      <w:pPr>
        <w:pStyle w:val="Prrafodelista"/>
        <w:numPr>
          <w:ilvl w:val="0"/>
          <w:numId w:val="4"/>
        </w:numPr>
        <w:spacing w:line="240" w:lineRule="auto"/>
        <w:jc w:val="both"/>
        <w:rPr>
          <w:rFonts w:ascii="Gill Sans MT" w:eastAsia="Gill Sans" w:hAnsi="Gill Sans MT" w:cs="Gill Sans"/>
          <w:bCs/>
        </w:rPr>
      </w:pPr>
      <w:r w:rsidRPr="00B45305">
        <w:rPr>
          <w:rFonts w:ascii="Gill Sans MT" w:eastAsia="Gill Sans" w:hAnsi="Gill Sans MT" w:cs="Gill Sans"/>
          <w:bCs/>
        </w:rPr>
        <w:t>Costos indirectos</w:t>
      </w:r>
    </w:p>
    <w:p w14:paraId="385E46B3" w14:textId="5226F77E" w:rsidR="00B45305" w:rsidRDefault="00B45305" w:rsidP="00B67EEA">
      <w:pPr>
        <w:pStyle w:val="Prrafodelista"/>
        <w:numPr>
          <w:ilvl w:val="0"/>
          <w:numId w:val="4"/>
        </w:numPr>
        <w:spacing w:line="240" w:lineRule="auto"/>
        <w:jc w:val="both"/>
        <w:rPr>
          <w:rFonts w:ascii="Gill Sans MT" w:eastAsia="Gill Sans" w:hAnsi="Gill Sans MT" w:cs="Gill Sans"/>
          <w:bCs/>
        </w:rPr>
      </w:pPr>
      <w:r w:rsidRPr="00B45305">
        <w:rPr>
          <w:rFonts w:ascii="Gill Sans MT" w:eastAsia="Gill Sans" w:hAnsi="Gill Sans MT" w:cs="Gill Sans"/>
          <w:bCs/>
        </w:rPr>
        <w:t>Bancos, pagos y recibos</w:t>
      </w:r>
    </w:p>
    <w:p w14:paraId="3BF173EB" w14:textId="0DABE9CE" w:rsidR="00B45305" w:rsidRPr="00B45305" w:rsidRDefault="00B45305" w:rsidP="00B67EEA">
      <w:pPr>
        <w:pStyle w:val="Prrafodelista"/>
        <w:numPr>
          <w:ilvl w:val="0"/>
          <w:numId w:val="4"/>
        </w:numPr>
        <w:spacing w:line="240" w:lineRule="auto"/>
        <w:jc w:val="both"/>
        <w:rPr>
          <w:rFonts w:ascii="Gill Sans MT" w:eastAsia="Gill Sans" w:hAnsi="Gill Sans MT" w:cs="Gill Sans"/>
          <w:bCs/>
        </w:rPr>
      </w:pPr>
      <w:r w:rsidRPr="00B45305">
        <w:rPr>
          <w:rFonts w:ascii="Gill Sans MT" w:eastAsia="Gill Sans" w:hAnsi="Gill Sans MT" w:cs="Gill Sans"/>
          <w:bCs/>
        </w:rPr>
        <w:t>Uso de vehículos</w:t>
      </w:r>
    </w:p>
    <w:p w14:paraId="3E05EE2E" w14:textId="5084D359" w:rsid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 xml:space="preserve">3. Sistemas de compras y adquisiciones; </w:t>
      </w:r>
    </w:p>
    <w:p w14:paraId="12ACD23B" w14:textId="4B3F2214" w:rsidR="00B45305" w:rsidRPr="00B45305" w:rsidRDefault="00B45305" w:rsidP="00B67EEA">
      <w:pPr>
        <w:pStyle w:val="Prrafodelista"/>
        <w:numPr>
          <w:ilvl w:val="0"/>
          <w:numId w:val="6"/>
        </w:numPr>
        <w:spacing w:line="240" w:lineRule="auto"/>
        <w:jc w:val="both"/>
        <w:rPr>
          <w:rFonts w:ascii="Gill Sans MT" w:eastAsia="Gill Sans" w:hAnsi="Gill Sans MT" w:cs="Gill Sans"/>
          <w:bCs/>
        </w:rPr>
      </w:pPr>
      <w:r w:rsidRPr="00B45305">
        <w:rPr>
          <w:rFonts w:ascii="Gill Sans MT" w:eastAsia="Gill Sans" w:hAnsi="Gill Sans MT" w:cs="Gill Sans"/>
          <w:bCs/>
        </w:rPr>
        <w:t>Adquisiciones (compras)</w:t>
      </w:r>
    </w:p>
    <w:p w14:paraId="341DFF24" w14:textId="77C6B3A7" w:rsidR="00B45305" w:rsidRDefault="00B45305" w:rsidP="00B67EEA">
      <w:pPr>
        <w:pStyle w:val="Prrafodelista"/>
        <w:numPr>
          <w:ilvl w:val="0"/>
          <w:numId w:val="6"/>
        </w:numPr>
        <w:spacing w:line="240" w:lineRule="auto"/>
        <w:jc w:val="both"/>
        <w:rPr>
          <w:rFonts w:ascii="Gill Sans MT" w:eastAsia="Gill Sans" w:hAnsi="Gill Sans MT" w:cs="Gill Sans"/>
          <w:bCs/>
        </w:rPr>
      </w:pPr>
      <w:r w:rsidRPr="00B45305">
        <w:rPr>
          <w:rFonts w:ascii="Gill Sans MT" w:eastAsia="Gill Sans" w:hAnsi="Gill Sans MT" w:cs="Gill Sans"/>
          <w:bCs/>
        </w:rPr>
        <w:t>Activo fijo</w:t>
      </w:r>
    </w:p>
    <w:p w14:paraId="1CE700FC" w14:textId="03543FF9" w:rsidR="00B45305" w:rsidRPr="00B45305" w:rsidRDefault="00B45305" w:rsidP="00B67EEA">
      <w:pPr>
        <w:pStyle w:val="Prrafodelista"/>
        <w:numPr>
          <w:ilvl w:val="0"/>
          <w:numId w:val="6"/>
        </w:numPr>
        <w:spacing w:line="240" w:lineRule="auto"/>
        <w:jc w:val="both"/>
        <w:rPr>
          <w:rFonts w:ascii="Gill Sans MT" w:eastAsia="Gill Sans" w:hAnsi="Gill Sans MT" w:cs="Gill Sans"/>
          <w:bCs/>
        </w:rPr>
      </w:pPr>
      <w:r w:rsidRPr="00B45305">
        <w:rPr>
          <w:rFonts w:ascii="Gill Sans MT" w:eastAsia="Gill Sans" w:hAnsi="Gill Sans MT" w:cs="Gill Sans"/>
          <w:bCs/>
        </w:rPr>
        <w:t>Políticas y procedimientos de viaje</w:t>
      </w:r>
    </w:p>
    <w:p w14:paraId="06CB60C9" w14:textId="239BBB22" w:rsid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 xml:space="preserve">4. Recursos Humanos; </w:t>
      </w:r>
    </w:p>
    <w:p w14:paraId="2866C0AC" w14:textId="01B91B4E" w:rsidR="00B45305" w:rsidRDefault="00B45305" w:rsidP="00B67EEA">
      <w:pPr>
        <w:pStyle w:val="Prrafodelista"/>
        <w:numPr>
          <w:ilvl w:val="0"/>
          <w:numId w:val="5"/>
        </w:numPr>
        <w:spacing w:line="240" w:lineRule="auto"/>
        <w:jc w:val="both"/>
        <w:rPr>
          <w:rFonts w:ascii="Gill Sans MT" w:eastAsia="Gill Sans" w:hAnsi="Gill Sans MT" w:cs="Gill Sans"/>
          <w:bCs/>
        </w:rPr>
      </w:pPr>
      <w:r w:rsidRPr="00B45305">
        <w:rPr>
          <w:rFonts w:ascii="Gill Sans MT" w:eastAsia="Gill Sans" w:hAnsi="Gill Sans MT" w:cs="Gill Sans"/>
          <w:bCs/>
        </w:rPr>
        <w:t>Administración de personal</w:t>
      </w:r>
    </w:p>
    <w:p w14:paraId="3559368F" w14:textId="5A67DC19" w:rsidR="00B45305" w:rsidRPr="00B45305" w:rsidRDefault="00B45305" w:rsidP="00B67EEA">
      <w:pPr>
        <w:pStyle w:val="Prrafodelista"/>
        <w:numPr>
          <w:ilvl w:val="0"/>
          <w:numId w:val="5"/>
        </w:numPr>
        <w:spacing w:line="240" w:lineRule="auto"/>
        <w:jc w:val="both"/>
        <w:rPr>
          <w:rFonts w:ascii="Gill Sans MT" w:eastAsia="Gill Sans" w:hAnsi="Gill Sans MT" w:cs="Gill Sans"/>
          <w:bCs/>
        </w:rPr>
      </w:pPr>
      <w:r w:rsidRPr="00B45305">
        <w:rPr>
          <w:rFonts w:ascii="Gill Sans MT" w:eastAsia="Gill Sans" w:hAnsi="Gill Sans MT" w:cs="Gill Sans"/>
          <w:bCs/>
        </w:rPr>
        <w:t>Nómina y salarios</w:t>
      </w:r>
    </w:p>
    <w:p w14:paraId="6E37FD06" w14:textId="0870A796" w:rsid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 xml:space="preserve">5. Administración y Desempeño de Proyectos; y </w:t>
      </w:r>
    </w:p>
    <w:p w14:paraId="64D9ED59" w14:textId="68745A51" w:rsidR="00B45305" w:rsidRDefault="00B45305" w:rsidP="00B67EEA">
      <w:pPr>
        <w:pStyle w:val="Prrafodelista"/>
        <w:numPr>
          <w:ilvl w:val="0"/>
          <w:numId w:val="3"/>
        </w:numPr>
        <w:spacing w:line="240" w:lineRule="auto"/>
        <w:jc w:val="both"/>
        <w:rPr>
          <w:rFonts w:ascii="Gill Sans MT" w:eastAsia="Gill Sans" w:hAnsi="Gill Sans MT" w:cs="Gill Sans"/>
          <w:bCs/>
        </w:rPr>
      </w:pPr>
      <w:r w:rsidRPr="00B45305">
        <w:rPr>
          <w:rFonts w:ascii="Gill Sans MT" w:eastAsia="Gill Sans" w:hAnsi="Gill Sans MT" w:cs="Gill Sans"/>
          <w:bCs/>
        </w:rPr>
        <w:t>Administración de la organización</w:t>
      </w:r>
    </w:p>
    <w:p w14:paraId="52B9D028" w14:textId="51A450F1" w:rsidR="00B45305" w:rsidRPr="00B45305" w:rsidRDefault="00B45305" w:rsidP="00B67EEA">
      <w:pPr>
        <w:pStyle w:val="Prrafodelista"/>
        <w:numPr>
          <w:ilvl w:val="0"/>
          <w:numId w:val="3"/>
        </w:numPr>
        <w:spacing w:line="240" w:lineRule="auto"/>
        <w:jc w:val="both"/>
        <w:rPr>
          <w:rFonts w:ascii="Gill Sans MT" w:eastAsia="Gill Sans" w:hAnsi="Gill Sans MT" w:cs="Gill Sans"/>
          <w:bCs/>
        </w:rPr>
      </w:pPr>
      <w:r w:rsidRPr="00B45305">
        <w:rPr>
          <w:rFonts w:ascii="Gill Sans MT" w:eastAsia="Gill Sans" w:hAnsi="Gill Sans MT" w:cs="Gill Sans"/>
          <w:bCs/>
        </w:rPr>
        <w:t>Auditorías</w:t>
      </w:r>
    </w:p>
    <w:p w14:paraId="1B5F83BE" w14:textId="56E6E75C" w:rsid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6. Sostenibilidad Organizacional</w:t>
      </w:r>
    </w:p>
    <w:p w14:paraId="73469407" w14:textId="1D475042" w:rsidR="001C7D4C" w:rsidRPr="00B45305" w:rsidRDefault="00B45305" w:rsidP="00B67EEA">
      <w:pPr>
        <w:pStyle w:val="Prrafodelista"/>
        <w:numPr>
          <w:ilvl w:val="0"/>
          <w:numId w:val="2"/>
        </w:numPr>
        <w:spacing w:line="240" w:lineRule="auto"/>
        <w:jc w:val="both"/>
        <w:rPr>
          <w:rFonts w:ascii="Gill Sans MT" w:eastAsia="Gill Sans" w:hAnsi="Gill Sans MT" w:cs="Gill Sans"/>
          <w:bCs/>
        </w:rPr>
      </w:pPr>
      <w:r w:rsidRPr="00B45305">
        <w:rPr>
          <w:rFonts w:ascii="Gill Sans MT" w:eastAsia="Gill Sans" w:hAnsi="Gill Sans MT" w:cs="Gill Sans"/>
          <w:bCs/>
        </w:rPr>
        <w:t>Historial de desempeño institucional</w:t>
      </w:r>
    </w:p>
    <w:p w14:paraId="136B974E" w14:textId="073D74BB" w:rsidR="001C7D4C" w:rsidRDefault="001C7D4C" w:rsidP="00B67EEA">
      <w:pPr>
        <w:spacing w:line="240" w:lineRule="auto"/>
        <w:jc w:val="both"/>
        <w:rPr>
          <w:rFonts w:ascii="Gill Sans MT" w:hAnsi="Gill Sans MT" w:cs="Calibri"/>
        </w:rPr>
      </w:pPr>
      <w:r w:rsidRPr="001C7D4C">
        <w:rPr>
          <w:rFonts w:ascii="Gill Sans MT" w:eastAsia="Gill Sans" w:hAnsi="Gill Sans MT" w:cs="Gill Sans"/>
          <w:bCs/>
        </w:rPr>
        <w:t>Define una escala de evaluación de 1 al 4</w:t>
      </w:r>
      <w:r>
        <w:rPr>
          <w:rFonts w:ascii="Gill Sans MT" w:eastAsia="Gill Sans" w:hAnsi="Gill Sans MT" w:cs="Gill Sans"/>
          <w:bCs/>
        </w:rPr>
        <w:t>, a partir de la evaluación de capacidades en estos cinco rubros se d</w:t>
      </w:r>
      <w:r w:rsidRPr="000F7F38">
        <w:rPr>
          <w:rFonts w:ascii="Gill Sans MT" w:hAnsi="Gill Sans MT" w:cs="Calibri"/>
        </w:rPr>
        <w:t xml:space="preserve">etermina tres niveles de riesgo: </w:t>
      </w:r>
    </w:p>
    <w:p w14:paraId="50C6779F" w14:textId="77777777" w:rsidR="001C7D4C" w:rsidRDefault="001C7D4C" w:rsidP="00B67EEA">
      <w:pPr>
        <w:pStyle w:val="Prrafodelista"/>
        <w:numPr>
          <w:ilvl w:val="0"/>
          <w:numId w:val="1"/>
        </w:numPr>
        <w:spacing w:line="240" w:lineRule="auto"/>
        <w:jc w:val="both"/>
        <w:rPr>
          <w:rFonts w:ascii="Gill Sans MT" w:hAnsi="Gill Sans MT" w:cs="Calibri"/>
        </w:rPr>
      </w:pPr>
      <w:r w:rsidRPr="001C7D4C">
        <w:rPr>
          <w:rFonts w:ascii="Gill Sans MT" w:hAnsi="Gill Sans MT" w:cs="Calibri"/>
        </w:rPr>
        <w:t xml:space="preserve">Bajo 3.51-4.00, </w:t>
      </w:r>
    </w:p>
    <w:p w14:paraId="2423AA00" w14:textId="77777777" w:rsidR="001C7D4C" w:rsidRDefault="001C7D4C" w:rsidP="00B67EEA">
      <w:pPr>
        <w:pStyle w:val="Prrafodelista"/>
        <w:numPr>
          <w:ilvl w:val="0"/>
          <w:numId w:val="1"/>
        </w:numPr>
        <w:spacing w:line="240" w:lineRule="auto"/>
        <w:jc w:val="both"/>
        <w:rPr>
          <w:rFonts w:ascii="Gill Sans MT" w:hAnsi="Gill Sans MT" w:cs="Calibri"/>
        </w:rPr>
      </w:pPr>
      <w:r w:rsidRPr="001C7D4C">
        <w:rPr>
          <w:rFonts w:ascii="Gill Sans MT" w:hAnsi="Gill Sans MT" w:cs="Calibri"/>
        </w:rPr>
        <w:t xml:space="preserve">Medio 2.51-3.50, </w:t>
      </w:r>
    </w:p>
    <w:p w14:paraId="42F9700E" w14:textId="68E7EAB2" w:rsidR="001C7D4C" w:rsidRPr="001C7D4C" w:rsidRDefault="001C7D4C" w:rsidP="00B67EEA">
      <w:pPr>
        <w:pStyle w:val="Prrafodelista"/>
        <w:numPr>
          <w:ilvl w:val="0"/>
          <w:numId w:val="1"/>
        </w:numPr>
        <w:spacing w:line="240" w:lineRule="auto"/>
        <w:jc w:val="both"/>
        <w:rPr>
          <w:rFonts w:ascii="Gill Sans MT" w:hAnsi="Gill Sans MT" w:cs="Calibri"/>
        </w:rPr>
      </w:pPr>
      <w:r w:rsidRPr="001C7D4C">
        <w:rPr>
          <w:rFonts w:ascii="Gill Sans MT" w:hAnsi="Gill Sans MT" w:cs="Calibri"/>
        </w:rPr>
        <w:t xml:space="preserve">Alto 1.50-2.50. </w:t>
      </w:r>
    </w:p>
    <w:p w14:paraId="4DA88E9A" w14:textId="12B8CEEC" w:rsidR="006819EA" w:rsidRPr="001C7D4C" w:rsidRDefault="001C7D4C" w:rsidP="00B67EEA">
      <w:pPr>
        <w:spacing w:line="240" w:lineRule="auto"/>
        <w:jc w:val="both"/>
        <w:rPr>
          <w:rFonts w:ascii="Gill Sans MT" w:eastAsia="Gill Sans" w:hAnsi="Gill Sans MT" w:cs="Gill Sans"/>
          <w:bCs/>
        </w:rPr>
      </w:pPr>
      <w:r w:rsidRPr="001C7D4C">
        <w:rPr>
          <w:rFonts w:ascii="Gill Sans MT" w:eastAsia="Gill Sans" w:hAnsi="Gill Sans MT" w:cs="Gill Sans"/>
          <w:bCs/>
        </w:rPr>
        <w:t>Nota: Las áreas de evaluación las definirá cada donante</w:t>
      </w:r>
      <w:r>
        <w:rPr>
          <w:rFonts w:ascii="Gill Sans MT" w:eastAsia="Gill Sans" w:hAnsi="Gill Sans MT" w:cs="Gill Sans"/>
          <w:bCs/>
        </w:rPr>
        <w:t>,</w:t>
      </w:r>
      <w:r w:rsidRPr="001C7D4C">
        <w:rPr>
          <w:rFonts w:ascii="Gill Sans MT" w:eastAsia="Gill Sans" w:hAnsi="Gill Sans MT" w:cs="Gill Sans"/>
          <w:bCs/>
        </w:rPr>
        <w:t xml:space="preserve"> así como la escala de evaluación, es importante tener claridad sobre los criterios para la asignación del puntaje en cada una de las preguntas que definan al interior de cada área de evaluación. </w:t>
      </w:r>
    </w:p>
    <w:sectPr w:rsidR="006819EA" w:rsidRPr="001C7D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w:altName w:val="Segoe U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F1396"/>
    <w:multiLevelType w:val="hybridMultilevel"/>
    <w:tmpl w:val="489279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B3825DC"/>
    <w:multiLevelType w:val="hybridMultilevel"/>
    <w:tmpl w:val="2752DE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1976732"/>
    <w:multiLevelType w:val="hybridMultilevel"/>
    <w:tmpl w:val="5B3C82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495DA1"/>
    <w:multiLevelType w:val="hybridMultilevel"/>
    <w:tmpl w:val="6ADCDD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00A56ED"/>
    <w:multiLevelType w:val="hybridMultilevel"/>
    <w:tmpl w:val="181400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3DD1F29"/>
    <w:multiLevelType w:val="hybridMultilevel"/>
    <w:tmpl w:val="4AD65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B25FDD"/>
    <w:multiLevelType w:val="hybridMultilevel"/>
    <w:tmpl w:val="426236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D4C"/>
    <w:rsid w:val="001C7D4C"/>
    <w:rsid w:val="00AE3696"/>
    <w:rsid w:val="00B45305"/>
    <w:rsid w:val="00B67EEA"/>
    <w:rsid w:val="00C3514F"/>
    <w:rsid w:val="00F721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E91E"/>
  <w15:chartTrackingRefBased/>
  <w15:docId w15:val="{E0F5B471-AEEB-4735-A648-A198C6D62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7D4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7D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DADD12B9AC8547ADDEB39D8078768C" ma:contentTypeVersion="223" ma:contentTypeDescription="Create a new document." ma:contentTypeScope="" ma:versionID="0a6331ce40b3413c9e35facb82c64138">
  <xsd:schema xmlns:xsd="http://www.w3.org/2001/XMLSchema" xmlns:xs="http://www.w3.org/2001/XMLSchema" xmlns:p="http://schemas.microsoft.com/office/2006/metadata/properties" xmlns:ns1="http://schemas.microsoft.com/sharepoint/v3" xmlns:ns2="f9347bd1-0b38-455a-9452-b4e67971548e" xmlns:ns3="80964fa5-9e98-4434-bf74-193e10d14e3e" targetNamespace="http://schemas.microsoft.com/office/2006/metadata/properties" ma:root="true" ma:fieldsID="2867b393a038e9aa09be141533ec7737" ns1:_="" ns2:_="" ns3:_="">
    <xsd:import namespace="http://schemas.microsoft.com/sharepoint/v3"/>
    <xsd:import namespace="f9347bd1-0b38-455a-9452-b4e67971548e"/>
    <xsd:import namespace="80964fa5-9e98-4434-bf74-193e10d14e3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_Flow_SignoffStatus" minOccurs="0"/>
                <xsd:element ref="ns3:MediaServiceGenerationTime" minOccurs="0"/>
                <xsd:element ref="ns3:MediaServiceEventHashCod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347bd1-0b38-455a-9452-b4e6797154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964fa5-9e98-4434-bf74-193e10d14e3e"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AutoTags" ma:index="18" nillable="true" ma:displayName="MediaServiceAutoTags" ma:description="" ma:internalName="MediaServiceAutoTags"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Flow_SignoffStatus xmlns="80964fa5-9e98-4434-bf74-193e10d14e3e" xsi:nil="true"/>
    <_dlc_DocId xmlns="f9347bd1-0b38-455a-9452-b4e67971548e">XTWU6KEWX26W-777071957-178336</_dlc_DocId>
    <_dlc_DocIdUrl xmlns="f9347bd1-0b38-455a-9452-b4e67971548e">
      <Url>https://socialimpact.sharepoint.com/sites/ops/q0175231600001/_layouts/15/DocIdRedir.aspx?ID=XTWU6KEWX26W-777071957-178336</Url>
      <Description>XTWU6KEWX26W-777071957-178336</Description>
    </_dlc_DocIdUrl>
  </documentManagement>
</p:properties>
</file>

<file path=customXml/itemProps1.xml><?xml version="1.0" encoding="utf-8"?>
<ds:datastoreItem xmlns:ds="http://schemas.openxmlformats.org/officeDocument/2006/customXml" ds:itemID="{047DD2CD-CFAF-4D2C-BC75-6FA4FB761FF9}"/>
</file>

<file path=customXml/itemProps2.xml><?xml version="1.0" encoding="utf-8"?>
<ds:datastoreItem xmlns:ds="http://schemas.openxmlformats.org/officeDocument/2006/customXml" ds:itemID="{8A0A67EC-15F3-46E5-9948-D31F850226A3}"/>
</file>

<file path=customXml/itemProps3.xml><?xml version="1.0" encoding="utf-8"?>
<ds:datastoreItem xmlns:ds="http://schemas.openxmlformats.org/officeDocument/2006/customXml" ds:itemID="{DF2F178B-F314-47E9-98DB-E851CC91665D}"/>
</file>

<file path=customXml/itemProps4.xml><?xml version="1.0" encoding="utf-8"?>
<ds:datastoreItem xmlns:ds="http://schemas.openxmlformats.org/officeDocument/2006/customXml" ds:itemID="{5238436F-1362-411A-8733-FAB456656706}"/>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1051</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Nohemi Paredes</dc:creator>
  <cp:keywords/>
  <dc:description/>
  <cp:lastModifiedBy>Mariana</cp:lastModifiedBy>
  <cp:revision>2</cp:revision>
  <dcterms:created xsi:type="dcterms:W3CDTF">2020-05-21T17:36:00Z</dcterms:created>
  <dcterms:modified xsi:type="dcterms:W3CDTF">2020-05-21T17:36:00Z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0x01010015DADD12B9AC8547ADDEB39D8078768C</vt:lpwstr>
  </property>
  <property fmtid="{D5CDD505-2E9C-101B-9397-08002B2CF9AE}" pid="3" name="_dlc_DocIdItemGuid">
    <vt:lpwstr>554b0a74-e710-4521-8cb4-3e93bb9cf0fe</vt:lpwstr>
  </property>
</Properties>
</file>